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2A0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2 июля 2007 г. N 463</w:t>
        </w:r>
        <w:r>
          <w:rPr>
            <w:rStyle w:val="a4"/>
            <w:b w:val="0"/>
            <w:bCs w:val="0"/>
          </w:rPr>
          <w:br/>
          <w:t>"Об утверждении стандар</w:t>
        </w:r>
        <w:r>
          <w:rPr>
            <w:rStyle w:val="a4"/>
            <w:b w:val="0"/>
            <w:bCs w:val="0"/>
          </w:rPr>
          <w:t>та медицинской помощи больным с переломом шейного отдела позвоночника, растяжением и повреждением капсульно-связочного аппарата на уровне шеи, травматическим разрывом межпозвоночного диска в шейном отделе (при оказании специализированной помощи)"</w:t>
        </w:r>
      </w:hyperlink>
    </w:p>
    <w:p w:rsidR="00000000" w:rsidRDefault="00012A0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12A02">
      <w:pPr>
        <w:pStyle w:val="afa"/>
      </w:pPr>
      <w:bookmarkStart w:id="0" w:name="sub_550388368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012A02">
      <w:pPr>
        <w:pStyle w:val="afa"/>
      </w:pPr>
    </w:p>
    <w:p w:rsidR="00000000" w:rsidRDefault="00012A02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</w:t>
      </w:r>
      <w:r>
        <w:t>я 1993 г. N 5487-1 (Ведомости Съезда народных депутатов Российской Федерации и Верховного Совета Российской Федерации, 1993, N 33, ст. 1318; Собрание законодательства Российской Федерации, 2003, N 2, ст. 167; 2004, N 35, ст. 3607) приказываю:</w:t>
      </w:r>
    </w:p>
    <w:p w:rsidR="00000000" w:rsidRDefault="00012A02">
      <w:bookmarkStart w:id="1" w:name="sub_1"/>
      <w:r>
        <w:t>1. Утвер</w:t>
      </w:r>
      <w:r>
        <w:t xml:space="preserve">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переломом шейного отдела позвоночника, растяжением и повреждением капсульно-связочного аппарата на уровне шеи, травматическим разрывом межпозвоночного диска в шейном отделе (п</w:t>
      </w:r>
      <w:r>
        <w:t>ри оказании специализированной помощи).</w:t>
      </w:r>
    </w:p>
    <w:p w:rsidR="00000000" w:rsidRDefault="00012A02">
      <w:bookmarkStart w:id="2" w:name="sub_2"/>
      <w:bookmarkEnd w:id="1"/>
      <w:r>
        <w:t>2. Рекомендовать руководителям специализированных медицинских учреждений (подразделений) в субъектах Российской Федерации использовать стандарт медицинской помощи больным с переломом шейного отдела позвоноч</w:t>
      </w:r>
      <w:r>
        <w:t>ника, растяжением и повреждением капсульно-связочного аппарата на уровне шеи, травматическим разрывом межпозвоночного диска в шейном отделе (при оказании специализированной помощи).</w:t>
      </w:r>
    </w:p>
    <w:bookmarkEnd w:id="2"/>
    <w:p w:rsidR="00000000" w:rsidRDefault="00012A02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A02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A02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012A02"/>
    <w:p w:rsidR="00000000" w:rsidRDefault="00012A02">
      <w:pPr>
        <w:pStyle w:val="1"/>
      </w:pPr>
      <w:bookmarkStart w:id="3" w:name="sub_1000"/>
      <w:r>
        <w:t>Стандарт</w:t>
      </w:r>
      <w:r>
        <w:br/>
        <w:t>медицинской по</w:t>
      </w:r>
      <w:r>
        <w:t>мощи больным с переломом шейного отдела позвоночника, растяжением и повреждением капсульно-связочного аппарата на уровне шеи, травматическим разрывом межпозвоночного диска в шейном отделе</w:t>
      </w:r>
      <w:r>
        <w:br/>
        <w:t>(при оказании специализированной помощи)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</w:t>
        </w:r>
        <w:r>
          <w:rPr>
            <w:rStyle w:val="a4"/>
            <w:b w:val="0"/>
            <w:bCs w:val="0"/>
          </w:rPr>
          <w:t>риказом</w:t>
        </w:r>
      </w:hyperlink>
      <w:r>
        <w:t xml:space="preserve"> Министерства здравоохранения и социального развития РФ от 2 июля 2007 г. N 463)</w:t>
      </w:r>
    </w:p>
    <w:bookmarkEnd w:id="3"/>
    <w:p w:rsidR="00000000" w:rsidRDefault="00012A02"/>
    <w:p w:rsidR="00000000" w:rsidRDefault="00012A02">
      <w:pPr>
        <w:pStyle w:val="1"/>
      </w:pPr>
      <w:bookmarkStart w:id="4" w:name="sub_1100"/>
      <w:r>
        <w:t>1. Модель пациента</w:t>
      </w:r>
    </w:p>
    <w:bookmarkEnd w:id="4"/>
    <w:p w:rsidR="00000000" w:rsidRDefault="00012A02"/>
    <w:p w:rsidR="00000000" w:rsidRDefault="00012A02">
      <w:r>
        <w:t>Категория возрастная: дети, взрослые</w:t>
      </w:r>
    </w:p>
    <w:p w:rsidR="00000000" w:rsidRDefault="00012A02">
      <w:r>
        <w:t>Нозологическая форма: перелом первого шейного позвонка, перелом второго шейного поз</w:t>
      </w:r>
      <w:r>
        <w:t xml:space="preserve">вонка, перелом других уточненных шейных позвонков, множественные переломы шейных позвонков, травматический разрыв межпозвоночного диска на уровне шеи, вывих шейного позвонка, множественные вывихи на уровне шеи, растяжение и повреждение связочного аппарата </w:t>
      </w:r>
      <w:r>
        <w:t>шейного отдела позвоночника</w:t>
      </w:r>
    </w:p>
    <w:p w:rsidR="00000000" w:rsidRDefault="00012A02">
      <w:r>
        <w:t xml:space="preserve">Код по МКБ-10: </w:t>
      </w:r>
      <w:hyperlink r:id="rId7" w:history="1">
        <w:r>
          <w:rPr>
            <w:rStyle w:val="a4"/>
          </w:rPr>
          <w:t>S 12.0 - S 12.2</w:t>
        </w:r>
      </w:hyperlink>
      <w:r>
        <w:t xml:space="preserve">, </w:t>
      </w:r>
      <w:hyperlink r:id="rId8" w:history="1">
        <w:r>
          <w:rPr>
            <w:rStyle w:val="a4"/>
          </w:rPr>
          <w:t>S 12.7</w:t>
        </w:r>
      </w:hyperlink>
      <w:r>
        <w:t xml:space="preserve">, </w:t>
      </w:r>
      <w:hyperlink r:id="rId9" w:history="1">
        <w:r>
          <w:rPr>
            <w:rStyle w:val="a4"/>
          </w:rPr>
          <w:t>S 13.0</w:t>
        </w:r>
      </w:hyperlink>
      <w:r>
        <w:t xml:space="preserve">, </w:t>
      </w:r>
      <w:hyperlink r:id="rId10" w:history="1">
        <w:r>
          <w:rPr>
            <w:rStyle w:val="a4"/>
          </w:rPr>
          <w:t>S 13.1</w:t>
        </w:r>
      </w:hyperlink>
      <w:r>
        <w:t xml:space="preserve">, </w:t>
      </w:r>
      <w:hyperlink r:id="rId11" w:history="1">
        <w:r>
          <w:rPr>
            <w:rStyle w:val="a4"/>
          </w:rPr>
          <w:t>S 13.3</w:t>
        </w:r>
      </w:hyperlink>
      <w:r>
        <w:t xml:space="preserve">, </w:t>
      </w:r>
      <w:hyperlink r:id="rId12" w:history="1">
        <w:r>
          <w:rPr>
            <w:rStyle w:val="a4"/>
          </w:rPr>
          <w:t>S 13.4</w:t>
        </w:r>
      </w:hyperlink>
    </w:p>
    <w:p w:rsidR="00000000" w:rsidRDefault="00012A02">
      <w:r>
        <w:t>Фаза: любая</w:t>
      </w:r>
    </w:p>
    <w:p w:rsidR="00000000" w:rsidRDefault="00012A02">
      <w:r>
        <w:t>Стадия: острая</w:t>
      </w:r>
    </w:p>
    <w:p w:rsidR="00000000" w:rsidRDefault="00012A02">
      <w:r>
        <w:t>Осложнение: без осложнений</w:t>
      </w:r>
    </w:p>
    <w:p w:rsidR="00000000" w:rsidRDefault="00012A02">
      <w:r>
        <w:lastRenderedPageBreak/>
        <w:t>Условия оказания: стационарная помощь</w:t>
      </w:r>
    </w:p>
    <w:p w:rsidR="00000000" w:rsidRDefault="00012A02"/>
    <w:p w:rsidR="00000000" w:rsidRDefault="00012A02">
      <w:pPr>
        <w:pStyle w:val="1"/>
      </w:pPr>
      <w:bookmarkStart w:id="5" w:name="sub_1110"/>
      <w:r>
        <w:t>1.1. Диагностика</w:t>
      </w:r>
    </w:p>
    <w:bookmarkEnd w:id="5"/>
    <w:p w:rsidR="00000000" w:rsidRDefault="00012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0"/>
        <w:gridCol w:w="5384"/>
        <w:gridCol w:w="1430"/>
        <w:gridCol w:w="14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А01.31.009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А01.03.002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А01.03.003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А01.03.004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A02.03.001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A02.04.003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A06.03.008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первого и второго шейного позвонка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A06.03.009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сочленения затылочной кости и первого шейного позвонка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А06.03.010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зубовидного отростка (второго шейного позвонка)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А06.03.011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другого шейного отдела позвоночника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А06.03.012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шейно-дорсального отдела позвоночника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А06.03.020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позвоночника в динамике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А06.03.019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А06.31.007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4</w:t>
            </w:r>
          </w:p>
        </w:tc>
      </w:tr>
    </w:tbl>
    <w:p w:rsidR="00000000" w:rsidRDefault="00012A02"/>
    <w:p w:rsidR="00000000" w:rsidRDefault="00012A02">
      <w:pPr>
        <w:pStyle w:val="1"/>
      </w:pPr>
      <w:bookmarkStart w:id="6" w:name="sub_1120"/>
      <w:r>
        <w:t>1.2. Лечение из расчета 15 дней</w:t>
      </w:r>
    </w:p>
    <w:bookmarkEnd w:id="6"/>
    <w:p w:rsidR="00000000" w:rsidRDefault="00012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3"/>
        <w:gridCol w:w="5376"/>
        <w:gridCol w:w="1395"/>
        <w:gridCol w:w="14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А01.31.009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А01.03.002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А01.03.003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А01.03.004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А01.24.004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А25.03.001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А25.03.003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 xml:space="preserve">Назначение лечебно-оздоровительного </w:t>
            </w:r>
            <w:r>
              <w:lastRenderedPageBreak/>
              <w:t>режима при заболеваниях костной системы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lastRenderedPageBreak/>
              <w:t>А25.03.002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А06.09.008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легких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А06.03.008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первого и второго шейного позвонка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А06.03.010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зубовидного отростка (второго шейного позвонка)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А06.03.011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другого шейного отдела позвоночника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А06.03.020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позвоночника в динамике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А06.03.019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А06.31.007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А05.10.001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А05.10.007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А11.05.001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Взятие крови из пальца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А08.05.004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А08.05.006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А09.05.003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А12.05.001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A08.05.005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А08.05.003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А08.05.009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А09.05.002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Оценка гематокрита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А09.28.001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А09.28.003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А09.28.017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А09.28.023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А09.28.011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А11.12.009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A09.05.010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A09.05.021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A09.05.022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A09.05.041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аспарат-трансамнназы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A09.05.042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A09.05.050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А09.05.023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lastRenderedPageBreak/>
              <w:t>А26.06.082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А26.06.040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Определение антитела класса M, G (Ig M, Ig G) к HBSAg Hepatitis B virus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А26.06.041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Определение антитела класса M, G (Ig M, lg G) к Hepatitis С virus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А26.06.048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А26.06.049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А12.05.005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А12.05.006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 26.02.001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А11.12.003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А11.02.002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A14.31.011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А02.12.001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Исследование пульса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А02.09.001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А02.12.002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А02.31.001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Термометрия общая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А13.31.001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Обучение самоуходу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А14.31.003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А14.31.005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А14.31.002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A14.01.001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А11.12.002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A14.12.001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A14.31.012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A14.19.001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A14.28.001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А11.28.007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A14.31.007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A17.31.020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А19.04.002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Лечебная физкультура при переломе позвоночника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A16.03.038.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Наложение наружных фиксирующих устройств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A15.03.002.001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Иммобилизация при переломах позвоночника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lastRenderedPageBreak/>
              <w:t>A15.01.001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3</w:t>
            </w:r>
          </w:p>
        </w:tc>
      </w:tr>
    </w:tbl>
    <w:p w:rsidR="00000000" w:rsidRDefault="00012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396"/>
        <w:gridCol w:w="3993"/>
        <w:gridCol w:w="1124"/>
        <w:gridCol w:w="1147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Местные анестетики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Лидокаин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Прокаин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Тримеперидин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Трамадол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Ненаркотические анальгетики, нестероидные противовоспалительные средства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Кеторолак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90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Кетопрофен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Метамизол натрия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Гидроксизин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750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Дистигмина бромид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1,5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Омепразол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Фамотидин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Прочие средства для лечения заболеваний желудочно-кишечного тракта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Метоклопрамид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Гепарин натрия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Надропарин кальция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0,6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Растворы и ппазмозаменители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Гидроксиэтилкрахмал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Декстроза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lastRenderedPageBreak/>
              <w:t>Средства для профилактики и лечения инфекций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Цефазолин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Аминофиллин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Прочие средства, влияющие на органы дыхания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Амброксол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45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90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Ацетилцистеин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Натрия хлорид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1200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1200 мл</w:t>
            </w:r>
          </w:p>
        </w:tc>
      </w:tr>
    </w:tbl>
    <w:p w:rsidR="00000000" w:rsidRDefault="00012A02"/>
    <w:p w:rsidR="00000000" w:rsidRDefault="00012A02">
      <w:pPr>
        <w:pStyle w:val="afff0"/>
      </w:pPr>
      <w:r>
        <w:t>______________________________</w:t>
      </w:r>
    </w:p>
    <w:p w:rsidR="00000000" w:rsidRDefault="00012A02">
      <w:bookmarkStart w:id="8" w:name="sub_1111"/>
      <w:r>
        <w:t>* - анатомо-терапевтически-химическая классификация</w:t>
      </w:r>
    </w:p>
    <w:p w:rsidR="00000000" w:rsidRDefault="00012A02">
      <w:bookmarkStart w:id="9" w:name="sub_2222"/>
      <w:bookmarkEnd w:id="8"/>
      <w:r>
        <w:t>** - ориентировочная дневная доза</w:t>
      </w:r>
    </w:p>
    <w:p w:rsidR="00000000" w:rsidRDefault="00012A02">
      <w:bookmarkStart w:id="10" w:name="sub_3333"/>
      <w:bookmarkEnd w:id="9"/>
      <w:r>
        <w:t>*** - эквивалентная курсовая доза</w:t>
      </w:r>
    </w:p>
    <w:bookmarkEnd w:id="10"/>
    <w:p w:rsidR="00000000" w:rsidRDefault="00012A02"/>
    <w:p w:rsidR="00000000" w:rsidRDefault="00012A02">
      <w:pPr>
        <w:pStyle w:val="1"/>
      </w:pPr>
      <w:bookmarkStart w:id="11" w:name="sub_1130"/>
      <w:r>
        <w:t>Питательные смеси</w:t>
      </w:r>
    </w:p>
    <w:bookmarkEnd w:id="11"/>
    <w:p w:rsidR="00000000" w:rsidRDefault="00012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2"/>
        <w:gridCol w:w="1127"/>
        <w:gridCol w:w="1144"/>
        <w:gridCol w:w="1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</w:pPr>
            <w:r>
              <w:t>Смесь белковая композитная сухая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20 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2A02">
            <w:pPr>
              <w:pStyle w:val="aff7"/>
              <w:jc w:val="center"/>
            </w:pPr>
            <w:r>
              <w:t>300 г</w:t>
            </w:r>
          </w:p>
        </w:tc>
      </w:tr>
    </w:tbl>
    <w:p w:rsidR="00000000" w:rsidRDefault="00012A02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2A02"/>
    <w:rsid w:val="0001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4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8484" TargetMode="External"/><Relationship Id="rId12" Type="http://schemas.openxmlformats.org/officeDocument/2006/relationships/hyperlink" Target="garantF1://4000000.84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11" Type="http://schemas.openxmlformats.org/officeDocument/2006/relationships/hyperlink" Target="garantF1://4000000.8493" TargetMode="External"/><Relationship Id="rId5" Type="http://schemas.openxmlformats.org/officeDocument/2006/relationships/hyperlink" Target="garantF1://5081709.0" TargetMode="External"/><Relationship Id="rId10" Type="http://schemas.openxmlformats.org/officeDocument/2006/relationships/hyperlink" Target="garantF1://4000000.8491" TargetMode="External"/><Relationship Id="rId4" Type="http://schemas.openxmlformats.org/officeDocument/2006/relationships/hyperlink" Target="garantF1://4084925.0" TargetMode="External"/><Relationship Id="rId9" Type="http://schemas.openxmlformats.org/officeDocument/2006/relationships/hyperlink" Target="garantF1://4000000.84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1603</Words>
  <Characters>9140</Characters>
  <Application>Microsoft Office Word</Application>
  <DocSecurity>4</DocSecurity>
  <Lines>76</Lines>
  <Paragraphs>21</Paragraphs>
  <ScaleCrop>false</ScaleCrop>
  <Company>НПП "Гарант-Сервис"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2017-04-20T06:36:00Z</dcterms:created>
  <dcterms:modified xsi:type="dcterms:W3CDTF">2017-04-20T06:36:00Z</dcterms:modified>
</cp:coreProperties>
</file>