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4A3F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0" w:name="sub_574376472"/>
    <w:p w:rsidR="00000000" w:rsidRDefault="00AC4A3F">
      <w:pPr>
        <w:pStyle w:val="afb"/>
      </w:pPr>
      <w:r>
        <w:fldChar w:fldCharType="begin"/>
      </w:r>
      <w:r>
        <w:instrText>HYPERLINK "garantF1://71117534.1001"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12 октября 2015 г. N </w:t>
      </w:r>
      <w:r>
        <w:t>1089 наименование изложено в новой редакции</w:t>
      </w:r>
    </w:p>
    <w:bookmarkEnd w:id="0"/>
    <w:p w:rsidR="00000000" w:rsidRDefault="00AC4A3F">
      <w:pPr>
        <w:pStyle w:val="afb"/>
      </w:pPr>
      <w:r>
        <w:fldChar w:fldCharType="begin"/>
      </w:r>
      <w:r>
        <w:instrText>HYPERLINK "garantF1://57305406.0"</w:instrText>
      </w:r>
      <w:r>
        <w:fldChar w:fldCharType="separate"/>
      </w:r>
      <w:r>
        <w:rPr>
          <w:rStyle w:val="a4"/>
        </w:rPr>
        <w:t>См. текст наименования в предыдущей редакции</w:t>
      </w:r>
      <w:r>
        <w:fldChar w:fldCharType="end"/>
      </w:r>
    </w:p>
    <w:p w:rsidR="00000000" w:rsidRDefault="00AC4A3F">
      <w:pPr>
        <w:pStyle w:val="1"/>
      </w:pPr>
      <w:r>
        <w:t>Постановление Правительства РФ от 9 января 2014 г. N 10</w:t>
      </w:r>
      <w:r>
        <w:br/>
        <w:t>"О порядке сообщения отдельными категориями лиц о получении по</w:t>
      </w:r>
      <w:r>
        <w:t>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</w:t>
      </w:r>
      <w:r>
        <w:t xml:space="preserve"> вырученных от его реализации"</w:t>
      </w:r>
    </w:p>
    <w:p w:rsidR="00000000" w:rsidRDefault="00AC4A3F"/>
    <w:p w:rsidR="00000000" w:rsidRDefault="00AC4A3F">
      <w:pPr>
        <w:pStyle w:val="afa"/>
        <w:rPr>
          <w:color w:val="000000"/>
          <w:sz w:val="16"/>
          <w:szCs w:val="16"/>
        </w:rPr>
      </w:pPr>
      <w:bookmarkStart w:id="1" w:name="sub_99"/>
      <w:r>
        <w:rPr>
          <w:color w:val="000000"/>
          <w:sz w:val="16"/>
          <w:szCs w:val="16"/>
        </w:rPr>
        <w:t>Информация об изменениях:</w:t>
      </w:r>
    </w:p>
    <w:bookmarkStart w:id="2" w:name="sub_574383500"/>
    <w:bookmarkEnd w:id="1"/>
    <w:p w:rsidR="00000000" w:rsidRDefault="00AC4A3F">
      <w:pPr>
        <w:pStyle w:val="afb"/>
      </w:pPr>
      <w:r>
        <w:fldChar w:fldCharType="begin"/>
      </w:r>
      <w:r>
        <w:instrText>HYPERLINK "garantF1://71117534.1002"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12 октября 2015 г. N 1089 преамбула изложена в новой редакции</w:t>
      </w:r>
    </w:p>
    <w:bookmarkEnd w:id="2"/>
    <w:p w:rsidR="00000000" w:rsidRDefault="00AC4A3F">
      <w:pPr>
        <w:pStyle w:val="afb"/>
      </w:pPr>
      <w:r>
        <w:fldChar w:fldCharType="begin"/>
      </w:r>
      <w:r>
        <w:instrText>HYPERLINK "garantF1://57</w:instrText>
      </w:r>
      <w:r>
        <w:instrText>305406.99"</w:instrText>
      </w:r>
      <w:r>
        <w:fldChar w:fldCharType="separate"/>
      </w:r>
      <w:r>
        <w:rPr>
          <w:rStyle w:val="a4"/>
        </w:rPr>
        <w:t>См. текст преамбулы в предыдущей редакции</w:t>
      </w:r>
      <w:r>
        <w:fldChar w:fldCharType="end"/>
      </w:r>
    </w:p>
    <w:p w:rsidR="00000000" w:rsidRDefault="00AC4A3F">
      <w:r>
        <w:t>Правительство Российской Федерации постановляет:</w:t>
      </w:r>
    </w:p>
    <w:p w:rsidR="00000000" w:rsidRDefault="00AC4A3F">
      <w:pPr>
        <w:pStyle w:val="afa"/>
        <w:rPr>
          <w:color w:val="000000"/>
          <w:sz w:val="16"/>
          <w:szCs w:val="16"/>
        </w:rPr>
      </w:pPr>
      <w:bookmarkStart w:id="3" w:name="sub_1"/>
      <w:r>
        <w:rPr>
          <w:color w:val="000000"/>
          <w:sz w:val="16"/>
          <w:szCs w:val="16"/>
        </w:rPr>
        <w:t>Информация об изменениях:</w:t>
      </w:r>
    </w:p>
    <w:bookmarkStart w:id="4" w:name="sub_574383976"/>
    <w:bookmarkEnd w:id="3"/>
    <w:p w:rsidR="00000000" w:rsidRDefault="00AC4A3F">
      <w:pPr>
        <w:pStyle w:val="afb"/>
      </w:pPr>
      <w:r>
        <w:fldChar w:fldCharType="begin"/>
      </w:r>
      <w:r>
        <w:instrText>HYPERLINK "garantF1://71117534.10003"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12 октября 2015 г. N 1089 в </w:t>
      </w:r>
      <w:r>
        <w:t>пункт 1 внесены изменения</w:t>
      </w:r>
    </w:p>
    <w:bookmarkEnd w:id="4"/>
    <w:p w:rsidR="00000000" w:rsidRDefault="00AC4A3F">
      <w:pPr>
        <w:pStyle w:val="afb"/>
      </w:pPr>
      <w:r>
        <w:fldChar w:fldCharType="begin"/>
      </w:r>
      <w:r>
        <w:instrText>HYPERLINK "garantF1://57305406.1"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AC4A3F">
      <w:r>
        <w:t xml:space="preserve">1. Утвердить прилагаемое </w:t>
      </w:r>
      <w:hyperlink w:anchor="sub_1000" w:history="1">
        <w:r>
          <w:rPr>
            <w:rStyle w:val="a4"/>
          </w:rPr>
          <w:t>Типовое положение</w:t>
        </w:r>
      </w:hyperlink>
      <w:r>
        <w:t xml:space="preserve"> о сообщении отдельными категориями лиц о получении подарка в связи с прот</w:t>
      </w:r>
      <w:r>
        <w:t>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</w:t>
      </w:r>
      <w:r>
        <w:t>еализации.</w:t>
      </w:r>
    </w:p>
    <w:p w:rsidR="00000000" w:rsidRDefault="00AC4A3F">
      <w:bookmarkStart w:id="5" w:name="sub_2"/>
      <w:r>
        <w:t>2. 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служащими в связи с протокольными мероприятиям</w:t>
      </w:r>
      <w:r>
        <w:t>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000000" w:rsidRDefault="00AC4A3F">
      <w:bookmarkStart w:id="6" w:name="sub_3"/>
      <w:bookmarkEnd w:id="5"/>
      <w:r>
        <w:t>3. Реализация полномочий, предусмотренных настоящим постановлением, осуще</w:t>
      </w:r>
      <w:r>
        <w:t>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</w:t>
      </w:r>
      <w:r>
        <w:t>ций.</w:t>
      </w:r>
    </w:p>
    <w:p w:rsidR="00000000" w:rsidRDefault="00AC4A3F">
      <w:bookmarkStart w:id="7" w:name="sub_4"/>
      <w:bookmarkEnd w:id="6"/>
      <w:r>
        <w:t>4. 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AC4A3F">
      <w:pPr>
        <w:pStyle w:val="afa"/>
        <w:rPr>
          <w:color w:val="000000"/>
          <w:sz w:val="16"/>
          <w:szCs w:val="16"/>
        </w:rPr>
      </w:pPr>
      <w:bookmarkStart w:id="8" w:name="sub_5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AC4A3F">
      <w:pPr>
        <w:pStyle w:val="afb"/>
      </w:pPr>
      <w:r>
        <w:fldChar w:fldCharType="begin"/>
      </w:r>
      <w:r>
        <w:instrText>HYPERLINK "garantF1://71117534.1004"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</w:t>
      </w:r>
      <w:r>
        <w:t>равительства РФ от 12 октября 2015 г. N 1089 постановление дополнено пунктом 5</w:t>
      </w:r>
    </w:p>
    <w:p w:rsidR="00000000" w:rsidRDefault="00AC4A3F">
      <w:r>
        <w:t>5. Федеральным органам исполнительной власти, руководство деятельностью которых осуществляет Правительство Российской Федерации, разработать и утвердить порядок сообщения о полу</w:t>
      </w:r>
      <w:r>
        <w:t>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командировками и другими официальными мероприятиями, участие в которых связано с и</w:t>
      </w:r>
      <w:r>
        <w:t xml:space="preserve">сполнением ими </w:t>
      </w:r>
      <w:r>
        <w:lastRenderedPageBreak/>
        <w:t xml:space="preserve">служебных (должностных) обязанностей, его сдачи, оценки и реализации (выкупа) на основании </w:t>
      </w:r>
      <w:hyperlink w:anchor="sub_1000" w:history="1">
        <w:r>
          <w:rPr>
            <w:rStyle w:val="a4"/>
          </w:rPr>
          <w:t>Типового положения</w:t>
        </w:r>
      </w:hyperlink>
      <w:r>
        <w:t xml:space="preserve">, утвержденного настоящим постановлением, и </w:t>
      </w:r>
      <w:hyperlink r:id="rId4" w:history="1">
        <w:r>
          <w:rPr>
            <w:rStyle w:val="a4"/>
          </w:rPr>
          <w:t>постановления</w:t>
        </w:r>
      </w:hyperlink>
      <w:r>
        <w:t xml:space="preserve"> Правительств</w:t>
      </w:r>
      <w:r>
        <w:t>а Российской Федерации от 12 октября 2015 г. N 1088 "Об 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Федерации, на к</w:t>
      </w:r>
      <w:r>
        <w:t>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</w:t>
      </w:r>
      <w:r>
        <w:t>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связано с выполнен</w:t>
      </w:r>
      <w:r>
        <w:t>ием ими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</w:p>
    <w:p w:rsidR="00000000" w:rsidRDefault="00AC4A3F">
      <w:pPr>
        <w:pStyle w:val="afa"/>
        <w:rPr>
          <w:color w:val="000000"/>
          <w:sz w:val="16"/>
          <w:szCs w:val="16"/>
        </w:rPr>
      </w:pPr>
      <w:bookmarkStart w:id="9" w:name="sub_6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AC4A3F">
      <w:pPr>
        <w:pStyle w:val="afb"/>
      </w:pPr>
      <w:r>
        <w:fldChar w:fldCharType="begin"/>
      </w:r>
      <w:r>
        <w:instrText>HYPERLINK "garantF1://71117534.1004"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</w:t>
      </w:r>
      <w:r>
        <w:t>от 12 октября 2015 г. N 1089 постановление дополнено пунктом 6</w:t>
      </w:r>
    </w:p>
    <w:p w:rsidR="00000000" w:rsidRDefault="00AC4A3F">
      <w:r>
        <w:t xml:space="preserve"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</w:t>
      </w:r>
      <w:r>
        <w:t>организациям, созданным Российской Федерацией на основании федеральных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</w:t>
      </w:r>
      <w: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</w:t>
      </w:r>
      <w:hyperlink w:anchor="sub_1000" w:history="1">
        <w:r>
          <w:rPr>
            <w:rStyle w:val="a4"/>
          </w:rPr>
          <w:t>Типового</w:t>
        </w:r>
        <w:r>
          <w:rPr>
            <w:rStyle w:val="a4"/>
          </w:rPr>
          <w:t xml:space="preserve"> положения</w:t>
        </w:r>
      </w:hyperlink>
      <w:r>
        <w:t>, утвержденного настоящим постановлением.</w:t>
      </w:r>
    </w:p>
    <w:p w:rsidR="00000000" w:rsidRDefault="00AC4A3F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f0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000000" w:rsidRDefault="00AC4A3F"/>
    <w:p w:rsidR="00000000" w:rsidRDefault="00AC4A3F">
      <w:r>
        <w:t>Москва</w:t>
      </w:r>
    </w:p>
    <w:p w:rsidR="00000000" w:rsidRDefault="00AC4A3F">
      <w:r>
        <w:t>9 января 2014 г.</w:t>
      </w:r>
    </w:p>
    <w:p w:rsidR="00000000" w:rsidRDefault="00AC4A3F">
      <w:r>
        <w:t>N 10</w:t>
      </w:r>
    </w:p>
    <w:p w:rsidR="00000000" w:rsidRDefault="00AC4A3F"/>
    <w:p w:rsidR="00000000" w:rsidRDefault="00AC4A3F">
      <w:pPr>
        <w:pStyle w:val="afa"/>
        <w:rPr>
          <w:color w:val="000000"/>
          <w:sz w:val="16"/>
          <w:szCs w:val="16"/>
        </w:rPr>
      </w:pPr>
      <w:bookmarkStart w:id="10" w:name="sub_1000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AC4A3F">
      <w:pPr>
        <w:pStyle w:val="afb"/>
      </w:pPr>
      <w:r>
        <w:fldChar w:fldCharType="begin"/>
      </w:r>
      <w:r>
        <w:instrText>HYPERLINK "garantF1://71117534.10051"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12 октября 2015 г. N 1089 наименование изложено в новой редакции</w:t>
      </w:r>
    </w:p>
    <w:p w:rsidR="00000000" w:rsidRDefault="00AC4A3F">
      <w:pPr>
        <w:pStyle w:val="afb"/>
      </w:pPr>
      <w:hyperlink r:id="rId5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AC4A3F">
      <w:pPr>
        <w:pStyle w:val="1"/>
      </w:pPr>
      <w:r>
        <w:t>Типовое положение</w:t>
      </w:r>
      <w:r>
        <w:br/>
        <w:t>о сообщении отдельными категориями лиц о получении подарка в связи с</w:t>
      </w:r>
      <w: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</w:t>
      </w:r>
      <w:r>
        <w:t>его реализации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9 января 2014 г. N 10)</w:t>
      </w:r>
    </w:p>
    <w:p w:rsidR="00000000" w:rsidRDefault="00AC4A3F"/>
    <w:p w:rsidR="00000000" w:rsidRDefault="00AC4A3F">
      <w:bookmarkStart w:id="11" w:name="sub_1001"/>
      <w:r>
        <w:lastRenderedPageBreak/>
        <w:t>1. Настоящее Типовое положение определяет порядок сообщения лицами, замещающими государственные (муниципальные) должности, государственными (муни</w:t>
      </w:r>
      <w:r>
        <w:t>ципальными) служащими, служащими Центрального банка Российской Федерации, работниками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</w:t>
      </w:r>
      <w:r>
        <w:t>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соответственно - лица, замещающие государственные (муниципальные) должнос</w:t>
      </w:r>
      <w:r>
        <w:t>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</w:t>
      </w:r>
      <w:r>
        <w:t>тей, порядок сдачи и оценки подарка, реализации (выкупа) и зачисления средств, вырученных от его реализации.</w:t>
      </w:r>
    </w:p>
    <w:p w:rsidR="00000000" w:rsidRDefault="00AC4A3F">
      <w:pPr>
        <w:pStyle w:val="afa"/>
        <w:rPr>
          <w:color w:val="000000"/>
          <w:sz w:val="16"/>
          <w:szCs w:val="16"/>
        </w:rPr>
      </w:pPr>
      <w:bookmarkStart w:id="12" w:name="sub_1002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AC4A3F">
      <w:pPr>
        <w:pStyle w:val="afb"/>
      </w:pPr>
      <w:r>
        <w:fldChar w:fldCharType="begin"/>
      </w:r>
      <w:r>
        <w:instrText>HYPERLINK "garantF1://71117534.10052"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12 октября 2015 г. N </w:t>
      </w:r>
      <w:r>
        <w:t>1089 в пункт 2 внесены изменения</w:t>
      </w:r>
    </w:p>
    <w:p w:rsidR="00000000" w:rsidRDefault="00AC4A3F">
      <w:pPr>
        <w:pStyle w:val="afb"/>
      </w:pPr>
      <w:hyperlink r:id="rId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C4A3F">
      <w:r>
        <w:t>2. Для целей настоящего Типового положения используются следующие понятия:</w:t>
      </w:r>
    </w:p>
    <w:p w:rsidR="00000000" w:rsidRDefault="00AC4A3F">
      <w:bookmarkStart w:id="13" w:name="sub_10021"/>
      <w:r>
        <w:rPr>
          <w:rStyle w:val="a3"/>
        </w:rPr>
        <w:t>"подарок, полученный в связи с протокольными мероприятиями, с</w:t>
      </w:r>
      <w:r>
        <w:rPr>
          <w:rStyle w:val="a3"/>
        </w:rPr>
        <w:t>лужебными командировками и другими официальными мероприятиями"</w:t>
      </w:r>
      <w:r>
        <w:t xml:space="preserve"> - подарок, полученный лицом, замещающим государственную (муниципальную) должность, служащим, работником от физических (юридических) лиц, которые осуществляют дарение исходя из должностного поло</w:t>
      </w:r>
      <w:r>
        <w:t>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</w:t>
      </w:r>
      <w:r>
        <w:t>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00000" w:rsidRDefault="00AC4A3F">
      <w:bookmarkStart w:id="14" w:name="sub_10022"/>
      <w:bookmarkEnd w:id="13"/>
      <w:r>
        <w:rPr>
          <w:rStyle w:val="a3"/>
        </w:rPr>
        <w:t>"получение подарка в связи с протокольными мероприятиями, служебными командировками</w:t>
      </w:r>
      <w:r>
        <w:rPr>
          <w:rStyle w:val="a3"/>
        </w:rPr>
        <w:t xml:space="preserve"> и другими официальными мероприятиями, участие в которых связано с исполнением служебных (должностных) обязанностей"</w:t>
      </w:r>
      <w:r>
        <w:t xml:space="preserve"> - получение лицом, замещающим государственную (муниципальную) должность, служащим, работником лично или через посредника от физических (юри</w:t>
      </w:r>
      <w:r>
        <w:t>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</w:t>
      </w:r>
      <w:r>
        <w:t>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00000" w:rsidRDefault="00AC4A3F">
      <w:pPr>
        <w:pStyle w:val="afa"/>
        <w:rPr>
          <w:color w:val="000000"/>
          <w:sz w:val="16"/>
          <w:szCs w:val="16"/>
        </w:rPr>
      </w:pPr>
      <w:bookmarkStart w:id="15" w:name="sub_1003"/>
      <w:bookmarkEnd w:id="14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AC4A3F">
      <w:pPr>
        <w:pStyle w:val="afb"/>
      </w:pPr>
      <w:r>
        <w:fldChar w:fldCharType="begin"/>
      </w:r>
      <w:r>
        <w:instrText>HYPERLINK "garantF1://71117534.10053"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</w:t>
      </w:r>
      <w:r>
        <w:t xml:space="preserve"> РФ от 12 октября 2015 г. N 1089 пункт 3 изложен в новой редакции</w:t>
      </w:r>
    </w:p>
    <w:p w:rsidR="00000000" w:rsidRDefault="00AC4A3F">
      <w:pPr>
        <w:pStyle w:val="afb"/>
      </w:pPr>
      <w:hyperlink r:id="rId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C4A3F">
      <w:r>
        <w:t>3. Лица, замещающие государственные (муниципальные) должности, служащие, работники не вправе получать подарки от</w:t>
      </w:r>
      <w:r>
        <w:t xml:space="preserve">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</w:t>
      </w:r>
      <w:r>
        <w:lastRenderedPageBreak/>
        <w:t>мероприя</w:t>
      </w:r>
      <w:r>
        <w:t>тиями, участие в которых связано с исполнением ими служебных (должностных) обязанностей.</w:t>
      </w:r>
    </w:p>
    <w:p w:rsidR="00000000" w:rsidRDefault="00AC4A3F">
      <w:pPr>
        <w:pStyle w:val="afa"/>
        <w:rPr>
          <w:color w:val="000000"/>
          <w:sz w:val="16"/>
          <w:szCs w:val="16"/>
        </w:rPr>
      </w:pPr>
      <w:bookmarkStart w:id="16" w:name="sub_1004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AC4A3F">
      <w:pPr>
        <w:pStyle w:val="afb"/>
      </w:pPr>
      <w:r>
        <w:fldChar w:fldCharType="begin"/>
      </w:r>
      <w:r>
        <w:instrText>HYPERLINK "garantF1://71117534.10054"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12 октября 2015 г. N </w:t>
      </w:r>
      <w:r>
        <w:t>1089 в пункт 4 внесены изменения</w:t>
      </w:r>
    </w:p>
    <w:p w:rsidR="00000000" w:rsidRDefault="00AC4A3F">
      <w:pPr>
        <w:pStyle w:val="afb"/>
      </w:pPr>
      <w:hyperlink r:id="rId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C4A3F">
      <w:r>
        <w:t>4. Лица, замещающие государственные (муниципальные) должности, служащие, работники обязаны в порядке, предусмотренном настоящим Типовым положение</w:t>
      </w:r>
      <w:r>
        <w:t>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</w:t>
      </w:r>
      <w:r>
        <w:t>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</w:p>
    <w:p w:rsidR="00000000" w:rsidRDefault="00AC4A3F">
      <w:pPr>
        <w:pStyle w:val="afa"/>
        <w:rPr>
          <w:color w:val="000000"/>
          <w:sz w:val="16"/>
          <w:szCs w:val="16"/>
        </w:rPr>
      </w:pPr>
      <w:bookmarkStart w:id="17" w:name="sub_1005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AC4A3F">
      <w:pPr>
        <w:pStyle w:val="afb"/>
      </w:pPr>
      <w:r>
        <w:fldChar w:fldCharType="begin"/>
      </w:r>
      <w:r>
        <w:instrText>HYPERLINK "garantF1://71117534.10055"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</w:t>
      </w:r>
      <w:r>
        <w:t>авительства РФ от 12 октября 2015 г. N 1089 в пункт 5 внесены изменения</w:t>
      </w:r>
    </w:p>
    <w:p w:rsidR="00000000" w:rsidRDefault="00AC4A3F">
      <w:pPr>
        <w:pStyle w:val="afb"/>
      </w:pPr>
      <w:hyperlink r:id="rId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C4A3F">
      <w:r>
        <w:t>5. Уведомление о получении подарка в связи с протокольными мероприятиями, служебными командировками и друг</w:t>
      </w:r>
      <w:r>
        <w:t xml:space="preserve">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sub_10000" w:history="1">
        <w:r>
          <w:rPr>
            <w:rStyle w:val="a4"/>
          </w:rPr>
          <w:t>приложению</w:t>
        </w:r>
      </w:hyperlink>
      <w:r>
        <w:t>, представляется не позднее 3 рабочих дней со дня получения подар</w:t>
      </w:r>
      <w:r>
        <w:t>ка в уполномоченное структурное подразделение (уполномоченные орган или организацию) государственного (муниципального) органа, фонда или иной организации, в которых лицо, замещающее государственную (муниципальную) должность, служащий, работник проходят гос</w:t>
      </w:r>
      <w:r>
        <w:t>ударственную (муниципальную) службу или осуществляют трудовую деятельность (далее - уполномоченное структурное подразделение (уполномоченные орган или организация). К уведомлению прилагаются документы (при их наличии), подтверждающие стоимость подарка (кас</w:t>
      </w:r>
      <w:r>
        <w:t>совый чек, товарный чек, иной документ об оплате (приобретении) подарка).</w:t>
      </w:r>
    </w:p>
    <w:p w:rsidR="00000000" w:rsidRDefault="00AC4A3F">
      <w:bookmarkStart w:id="18" w:name="sub_1005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</w:t>
      </w:r>
      <w:r>
        <w:t>й командировки.</w:t>
      </w:r>
    </w:p>
    <w:p w:rsidR="00000000" w:rsidRDefault="00AC4A3F">
      <w:bookmarkStart w:id="19" w:name="sub_10053"/>
      <w:bookmarkEnd w:id="18"/>
      <w:r>
        <w:t xml:space="preserve">При невозможности подачи уведомления в сроки, указанные в </w:t>
      </w:r>
      <w:hyperlink w:anchor="sub_1005" w:history="1">
        <w:r>
          <w:rPr>
            <w:rStyle w:val="a4"/>
          </w:rPr>
          <w:t>абзацах первом</w:t>
        </w:r>
      </w:hyperlink>
      <w:r>
        <w:t xml:space="preserve"> и </w:t>
      </w:r>
      <w:hyperlink w:anchor="sub_10052" w:history="1">
        <w:r>
          <w:rPr>
            <w:rStyle w:val="a4"/>
          </w:rPr>
          <w:t>втором</w:t>
        </w:r>
      </w:hyperlink>
      <w:r>
        <w:t xml:space="preserve"> настоящего пункта, по причине, не зависящей от лица, замещающего государственную (муниц</w:t>
      </w:r>
      <w:r>
        <w:t>ипальную) должность, служащего, работника, оно представляется не позднее следующего дня после ее устранения.</w:t>
      </w:r>
    </w:p>
    <w:p w:rsidR="00000000" w:rsidRDefault="00AC4A3F">
      <w:pPr>
        <w:pStyle w:val="afa"/>
        <w:rPr>
          <w:color w:val="000000"/>
          <w:sz w:val="16"/>
          <w:szCs w:val="16"/>
        </w:rPr>
      </w:pPr>
      <w:bookmarkStart w:id="20" w:name="sub_1006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AC4A3F">
      <w:pPr>
        <w:pStyle w:val="afb"/>
      </w:pPr>
      <w:r>
        <w:fldChar w:fldCharType="begin"/>
      </w:r>
      <w:r>
        <w:instrText>HYPERLINK "garantF1://71117534.10056"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12 октября 2015 г. N </w:t>
      </w:r>
      <w:r>
        <w:t>1089 в пункт 6 внесены изменения</w:t>
      </w:r>
    </w:p>
    <w:p w:rsidR="00000000" w:rsidRDefault="00AC4A3F">
      <w:pPr>
        <w:pStyle w:val="afb"/>
      </w:pPr>
      <w:hyperlink r:id="rId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C4A3F"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</w:t>
      </w:r>
      <w:r>
        <w:t xml:space="preserve">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(уполномоченных органа или организации), образованные в соответствии с </w:t>
      </w:r>
      <w:hyperlink r:id="rId11" w:history="1">
        <w:r>
          <w:rPr>
            <w:rStyle w:val="a4"/>
          </w:rPr>
          <w:t>законодательством о бухгалтерском учете</w:t>
        </w:r>
      </w:hyperlink>
      <w:r>
        <w:t xml:space="preserve"> (далее - комиссия или коллегиальный орган).</w:t>
      </w:r>
    </w:p>
    <w:p w:rsidR="00000000" w:rsidRDefault="00AC4A3F">
      <w:pPr>
        <w:pStyle w:val="afa"/>
        <w:rPr>
          <w:color w:val="000000"/>
          <w:sz w:val="16"/>
          <w:szCs w:val="16"/>
        </w:rPr>
      </w:pPr>
      <w:bookmarkStart w:id="21" w:name="sub_1007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AC4A3F">
      <w:pPr>
        <w:pStyle w:val="afb"/>
      </w:pPr>
      <w:r>
        <w:lastRenderedPageBreak/>
        <w:fldChar w:fldCharType="begin"/>
      </w:r>
      <w:r>
        <w:instrText>HYPERLINK "garantF1://71117534.10056"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12 октября 2015 г. N 1089 в пункт</w:t>
      </w:r>
      <w:r>
        <w:t xml:space="preserve"> 7 внесены изменения</w:t>
      </w:r>
    </w:p>
    <w:p w:rsidR="00000000" w:rsidRDefault="00AC4A3F">
      <w:pPr>
        <w:pStyle w:val="afb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C4A3F">
      <w:r>
        <w:t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</w:t>
      </w:r>
      <w:r>
        <w:t>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</w:t>
      </w:r>
      <w:r>
        <w:t>страции.</w:t>
      </w:r>
    </w:p>
    <w:p w:rsidR="00000000" w:rsidRDefault="00AC4A3F">
      <w:bookmarkStart w:id="22" w:name="sub_1008"/>
      <w:r>
        <w:t xml:space="preserve">8. Подарок, полученный лицом, замещающим государственную (муниципальную) должность, независимо от его стоимости, подлежит передаче на хранение в порядке, предусмотренном </w:t>
      </w:r>
      <w:hyperlink w:anchor="sub_1007" w:history="1">
        <w:r>
          <w:rPr>
            <w:rStyle w:val="a4"/>
          </w:rPr>
          <w:t>пунктом 7</w:t>
        </w:r>
      </w:hyperlink>
      <w:r>
        <w:t xml:space="preserve"> настоящего Типового положения.</w:t>
      </w:r>
    </w:p>
    <w:p w:rsidR="00000000" w:rsidRDefault="00AC4A3F">
      <w:bookmarkStart w:id="23" w:name="sub_1009"/>
      <w:bookmarkEnd w:id="22"/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00000" w:rsidRDefault="00AC4A3F">
      <w:bookmarkStart w:id="24" w:name="sub_1010"/>
      <w:bookmarkEnd w:id="23"/>
      <w:r>
        <w:t>10. В целях принятия к бухгалтерскому уче</w:t>
      </w:r>
      <w:r>
        <w:t xml:space="preserve">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</w:t>
      </w:r>
      <w:r>
        <w:t>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</w:t>
      </w:r>
      <w:r>
        <w:t xml:space="preserve"> случае, если его стоимость не превышает 3 тыс. рублей.</w:t>
      </w:r>
    </w:p>
    <w:p w:rsidR="00000000" w:rsidRDefault="00AC4A3F">
      <w:pPr>
        <w:pStyle w:val="afa"/>
        <w:rPr>
          <w:color w:val="000000"/>
          <w:sz w:val="16"/>
          <w:szCs w:val="16"/>
        </w:rPr>
      </w:pPr>
      <w:bookmarkStart w:id="25" w:name="sub_1011"/>
      <w:bookmarkEnd w:id="24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AC4A3F">
      <w:pPr>
        <w:pStyle w:val="afb"/>
      </w:pPr>
      <w:r>
        <w:fldChar w:fldCharType="begin"/>
      </w:r>
      <w:r>
        <w:instrText>HYPERLINK "garantF1://71117534.10056"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12 октября 2015 г. N 1089 в пункт 11 внесены изменения</w:t>
      </w:r>
    </w:p>
    <w:p w:rsidR="00000000" w:rsidRDefault="00AC4A3F">
      <w:pPr>
        <w:pStyle w:val="afb"/>
      </w:pPr>
      <w:hyperlink r:id="rId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C4A3F">
      <w:r>
        <w:t>11. Уполномоченное структурное подразделение (уполномоченные орган или организация) обеспечивает включение в установленном порядке принятого к бухгалтерскому учету подарка, стоимость которого превыш</w:t>
      </w:r>
      <w:r>
        <w:t>ает 3 тыс. рублей, в реестр федерального имущества или соответствующий реестр субъекта Российской Федерации (реестр муниципального образования).</w:t>
      </w:r>
    </w:p>
    <w:p w:rsidR="00000000" w:rsidRDefault="00AC4A3F">
      <w:bookmarkStart w:id="26" w:name="sub_1012"/>
      <w:r>
        <w:t>12. Лицо, замещающее государственную (муниципальную) должность, служащий, работник, сдавшие подарок, мо</w:t>
      </w:r>
      <w:r>
        <w:t>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000000" w:rsidRDefault="00AC4A3F">
      <w:pPr>
        <w:pStyle w:val="afa"/>
        <w:rPr>
          <w:color w:val="000000"/>
          <w:sz w:val="16"/>
          <w:szCs w:val="16"/>
        </w:rPr>
      </w:pPr>
      <w:bookmarkStart w:id="27" w:name="sub_1013"/>
      <w:bookmarkEnd w:id="26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AC4A3F">
      <w:pPr>
        <w:pStyle w:val="afb"/>
      </w:pPr>
      <w:r>
        <w:fldChar w:fldCharType="begin"/>
      </w:r>
      <w:r>
        <w:instrText>HYPERLINK "garantF1://71117534.10056"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</w:t>
      </w:r>
      <w:r>
        <w:t>тельства РФ от 12 октября 2015 г. N 1089 в пункт 13 внесены изменения</w:t>
      </w:r>
    </w:p>
    <w:p w:rsidR="00000000" w:rsidRDefault="00AC4A3F">
      <w:pPr>
        <w:pStyle w:val="afb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C4A3F">
      <w:r>
        <w:t>13. Уполномоченное структурное подразделение (уполномоченные орган или орган</w:t>
      </w:r>
      <w:r>
        <w:t xml:space="preserve">изация) в течение 3 месяцев со дня поступления заявления, указанного в </w:t>
      </w:r>
      <w:hyperlink w:anchor="sub_1012" w:history="1">
        <w:r>
          <w:rPr>
            <w:rStyle w:val="a4"/>
          </w:rPr>
          <w:t>пункте 12</w:t>
        </w:r>
      </w:hyperlink>
      <w:r>
        <w:t xml:space="preserve"> настоящего Типового положения, организует оценку стоимости подарка для реализации (выкупа) и уведомляет в письменной форме лицо, подавшее заявление, </w:t>
      </w:r>
      <w: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00000" w:rsidRDefault="00AC4A3F">
      <w:pPr>
        <w:pStyle w:val="afa"/>
        <w:rPr>
          <w:color w:val="000000"/>
          <w:sz w:val="16"/>
          <w:szCs w:val="16"/>
        </w:rPr>
      </w:pPr>
      <w:bookmarkStart w:id="28" w:name="sub_10131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AC4A3F">
      <w:pPr>
        <w:pStyle w:val="afb"/>
      </w:pPr>
      <w:r>
        <w:fldChar w:fldCharType="begin"/>
      </w:r>
      <w:r>
        <w:instrText>HYPERLINK "garantF1://71117534.10057"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12 октября 2015 г. N 1089 Типовое </w:t>
      </w:r>
      <w:r>
        <w:lastRenderedPageBreak/>
        <w:t>положение дополнено пунктом 13.1</w:t>
      </w:r>
    </w:p>
    <w:p w:rsidR="00000000" w:rsidRDefault="00AC4A3F">
      <w:r>
        <w:t>13.1. 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</w:t>
      </w:r>
      <w:r>
        <w:t xml:space="preserve">осударственных служащих заявление, указанное в </w:t>
      </w:r>
      <w:hyperlink w:anchor="sub_1012" w:history="1">
        <w:r>
          <w:rPr>
            <w:rStyle w:val="a4"/>
          </w:rPr>
          <w:t>пункте 12</w:t>
        </w:r>
      </w:hyperlink>
      <w:r>
        <w:t xml:space="preserve">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</w:t>
      </w:r>
      <w:r>
        <w:t>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</w:t>
      </w:r>
      <w:r>
        <w:t>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000000" w:rsidRDefault="00AC4A3F">
      <w:bookmarkStart w:id="29" w:name="sub_1014"/>
      <w:r>
        <w:t>1</w:t>
      </w:r>
      <w:r>
        <w:t xml:space="preserve">4. Подарок, в отношении которого не поступило заявление, указанное в </w:t>
      </w:r>
      <w:hyperlink w:anchor="sub_1012" w:history="1">
        <w:r>
          <w:rPr>
            <w:rStyle w:val="a4"/>
          </w:rPr>
          <w:t>пункте 12</w:t>
        </w:r>
      </w:hyperlink>
      <w:r>
        <w:t xml:space="preserve"> настоящего Типового положения, может использоваться государственным (муниципальным) органом, фондом или иной организацией с учетом заключения комиссии </w:t>
      </w:r>
      <w:r>
        <w:t>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AC4A3F">
      <w:bookmarkStart w:id="30" w:name="sub_1015"/>
      <w:bookmarkEnd w:id="29"/>
      <w:r>
        <w:t>15. В случае нецелесообразности использования подарка руководителем госуда</w:t>
      </w:r>
      <w:r>
        <w:t>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</w:t>
      </w:r>
      <w:r>
        <w:t xml:space="preserve">редством проведения торгов в порядке, предусмотренном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AC4A3F">
      <w:bookmarkStart w:id="31" w:name="sub_1016"/>
      <w:bookmarkEnd w:id="30"/>
      <w:r>
        <w:t xml:space="preserve">16. Оценка стоимости подарка для реализации (выкупа), предусмотренная </w:t>
      </w:r>
      <w:hyperlink w:anchor="sub_1013" w:history="1">
        <w:r>
          <w:rPr>
            <w:rStyle w:val="a4"/>
          </w:rPr>
          <w:t>пунктами 13</w:t>
        </w:r>
      </w:hyperlink>
      <w:r>
        <w:t xml:space="preserve"> </w:t>
      </w:r>
      <w:r>
        <w:t xml:space="preserve">и </w:t>
      </w:r>
      <w:hyperlink w:anchor="sub_1015" w:history="1">
        <w:r>
          <w:rPr>
            <w:rStyle w:val="a4"/>
          </w:rPr>
          <w:t>15</w:t>
        </w:r>
      </w:hyperlink>
      <w:r>
        <w:t xml:space="preserve"> настоящего Типового положения, осуществляется субъектами оценочной деятельности в соответствии с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оценочной деятельности.</w:t>
      </w:r>
    </w:p>
    <w:p w:rsidR="00000000" w:rsidRDefault="00AC4A3F">
      <w:bookmarkStart w:id="32" w:name="sub_1017"/>
      <w:bookmarkEnd w:id="31"/>
      <w:r>
        <w:t>17. В случ</w:t>
      </w:r>
      <w:r>
        <w:t>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</w:t>
      </w:r>
      <w:r>
        <w:t xml:space="preserve"> либо о его уничтожении в соответствии с законодательством Российской Федерации.</w:t>
      </w:r>
    </w:p>
    <w:p w:rsidR="00000000" w:rsidRDefault="00AC4A3F">
      <w:bookmarkStart w:id="33" w:name="sub_1018"/>
      <w:bookmarkEnd w:id="32"/>
      <w:r>
        <w:t xml:space="preserve">18. Средства, вырученные от реализации (выкупа) подарка, зачисляются в доход соответствующего бюджета в порядке, установленном </w:t>
      </w:r>
      <w:hyperlink r:id="rId17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bookmarkEnd w:id="33"/>
    <w:p w:rsidR="00000000" w:rsidRDefault="00AC4A3F"/>
    <w:p w:rsidR="00000000" w:rsidRDefault="00AC4A3F">
      <w:pPr>
        <w:pStyle w:val="afa"/>
        <w:rPr>
          <w:color w:val="000000"/>
          <w:sz w:val="16"/>
          <w:szCs w:val="16"/>
        </w:rPr>
      </w:pPr>
      <w:bookmarkStart w:id="34" w:name="sub_10000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000000" w:rsidRDefault="00AC4A3F">
      <w:pPr>
        <w:pStyle w:val="afb"/>
      </w:pPr>
      <w:r>
        <w:fldChar w:fldCharType="begin"/>
      </w:r>
      <w:r>
        <w:instrText>HYPERLINK "garantF1://71117534.10058"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12 октября 2015 г. N 1089 в приложение внесены изменения</w:t>
      </w:r>
    </w:p>
    <w:p w:rsidR="00000000" w:rsidRDefault="00AC4A3F">
      <w:pPr>
        <w:pStyle w:val="afb"/>
      </w:pPr>
      <w:hyperlink r:id="rId18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AC4A3F">
      <w:pPr>
        <w:pStyle w:val="afb"/>
      </w:pPr>
    </w:p>
    <w:p w:rsidR="00000000" w:rsidRDefault="00AC4A3F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Типовому положению</w:t>
        </w:r>
      </w:hyperlink>
      <w:r>
        <w:rPr>
          <w:rStyle w:val="a3"/>
        </w:rPr>
        <w:t xml:space="preserve"> о сообщении отдельными</w:t>
      </w:r>
      <w:r>
        <w:rPr>
          <w:rStyle w:val="a3"/>
        </w:rPr>
        <w:br/>
        <w:t>категориями лиц о получении подарка</w:t>
      </w:r>
      <w:r>
        <w:rPr>
          <w:rStyle w:val="a3"/>
        </w:rPr>
        <w:br/>
        <w:t>в связи с протокольными мероприятиями,</w:t>
      </w:r>
      <w:r>
        <w:rPr>
          <w:rStyle w:val="a3"/>
        </w:rPr>
        <w:br/>
        <w:t>служебными командировками и други</w:t>
      </w:r>
      <w:r>
        <w:rPr>
          <w:rStyle w:val="a3"/>
        </w:rPr>
        <w:t>ми официальными мероприятиями,</w:t>
      </w:r>
      <w:r>
        <w:rPr>
          <w:rStyle w:val="a3"/>
        </w:rPr>
        <w:br/>
        <w:t>участие в которых связано с исполнением ими служебных</w:t>
      </w:r>
      <w:r>
        <w:rPr>
          <w:rStyle w:val="a3"/>
        </w:rPr>
        <w:br/>
      </w:r>
      <w:r>
        <w:rPr>
          <w:rStyle w:val="a3"/>
        </w:rPr>
        <w:lastRenderedPageBreak/>
        <w:t>(должностных) обязанностей, сдаче и оценке подарка, реализации</w:t>
      </w:r>
      <w:r>
        <w:rPr>
          <w:rStyle w:val="a3"/>
        </w:rPr>
        <w:br/>
        <w:t>(выкупе) и зачислении средств, вырученных от его реализации</w:t>
      </w:r>
      <w:r>
        <w:rPr>
          <w:rStyle w:val="a3"/>
        </w:rPr>
        <w:br/>
        <w:t>(с изменениями от 12 октября 2015 г.)</w:t>
      </w:r>
    </w:p>
    <w:p w:rsidR="00000000" w:rsidRDefault="00AC4A3F"/>
    <w:p w:rsidR="00000000" w:rsidRDefault="00AC4A3F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</w:t>
      </w:r>
      <w:r>
        <w:rPr>
          <w:rStyle w:val="a3"/>
          <w:sz w:val="22"/>
          <w:szCs w:val="22"/>
        </w:rPr>
        <w:t xml:space="preserve">      Уведомление о получении подарка</w:t>
      </w:r>
    </w:p>
    <w:p w:rsidR="00000000" w:rsidRDefault="00AC4A3F"/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(наименование уполномоченного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структурного подразделения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государственного (муниципального) органа, фонда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</w:t>
      </w:r>
      <w:r>
        <w:rPr>
          <w:sz w:val="22"/>
          <w:szCs w:val="22"/>
        </w:rPr>
        <w:t>____________________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или иной организации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(уполномоченных органа или организации)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от _____</w:t>
      </w:r>
      <w:r>
        <w:rPr>
          <w:sz w:val="22"/>
          <w:szCs w:val="22"/>
        </w:rPr>
        <w:t>_________________________________________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(ф.и.о., занимаемая должность)</w:t>
      </w:r>
    </w:p>
    <w:p w:rsidR="00000000" w:rsidRDefault="00AC4A3F"/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Уведомление о получении подарка от "___" ______________ 20__ г.</w:t>
      </w:r>
    </w:p>
    <w:p w:rsidR="00000000" w:rsidRDefault="00AC4A3F"/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И</w:t>
      </w:r>
      <w:r>
        <w:rPr>
          <w:sz w:val="22"/>
          <w:szCs w:val="22"/>
        </w:rPr>
        <w:t>звещаю о получении ________________________________________________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(дата получения)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подарка(ов) на __________________________________________________________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(наименование протокольного мероприяти</w:t>
      </w:r>
      <w:r>
        <w:rPr>
          <w:sz w:val="22"/>
          <w:szCs w:val="22"/>
        </w:rPr>
        <w:t>я, служебной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командировки, другого официального мероприятия, место и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дата проведения)</w:t>
      </w:r>
    </w:p>
    <w:p w:rsidR="00000000" w:rsidRDefault="00AC4A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C4A3F">
            <w:pPr>
              <w:pStyle w:val="aff7"/>
              <w:jc w:val="center"/>
            </w:pPr>
            <w: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C4A3F">
            <w:pPr>
              <w:pStyle w:val="aff7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C4A3F">
            <w:pPr>
              <w:pStyle w:val="aff7"/>
              <w:jc w:val="center"/>
            </w:pPr>
            <w: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C4A3F">
            <w:pPr>
              <w:pStyle w:val="aff7"/>
              <w:jc w:val="center"/>
            </w:pPr>
            <w:r>
              <w:t>Стоимость в рублях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C4A3F">
            <w:pPr>
              <w:pStyle w:val="afff0"/>
            </w:pPr>
            <w: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C4A3F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C4A3F">
            <w:pPr>
              <w:pStyle w:val="aff7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C4A3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f0"/>
            </w:pPr>
            <w: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f0"/>
            </w:pPr>
            <w: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f0"/>
            </w:pPr>
            <w: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7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C4A3F">
            <w:pPr>
              <w:pStyle w:val="aff7"/>
            </w:pPr>
          </w:p>
        </w:tc>
      </w:tr>
    </w:tbl>
    <w:p w:rsidR="00000000" w:rsidRDefault="00AC4A3F"/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Приложение: _________________________________________ на ________ листах.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(наименование документа)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>Лицо, представившее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>уведомление          ___________   _____________________ "__" ____ 20__г.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(подпись)    (расшифровка подписи)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>Лицо, принявшее      ___________   _____________________ "__" ____ 20__г.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>уведомление           (подпись)    (расшифровка подписи)</w:t>
      </w:r>
    </w:p>
    <w:p w:rsidR="00000000" w:rsidRDefault="00AC4A3F"/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>Регистрационный номер в журнале регистрации уведомлений</w:t>
      </w:r>
    </w:p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</w:t>
      </w:r>
      <w:r>
        <w:rPr>
          <w:sz w:val="22"/>
          <w:szCs w:val="22"/>
        </w:rPr>
        <w:t>____</w:t>
      </w:r>
    </w:p>
    <w:p w:rsidR="00000000" w:rsidRDefault="00AC4A3F"/>
    <w:p w:rsidR="00000000" w:rsidRDefault="00AC4A3F">
      <w:pPr>
        <w:pStyle w:val="aff8"/>
        <w:rPr>
          <w:sz w:val="22"/>
          <w:szCs w:val="22"/>
        </w:rPr>
      </w:pPr>
      <w:r>
        <w:rPr>
          <w:sz w:val="22"/>
          <w:szCs w:val="22"/>
        </w:rPr>
        <w:t>"___" ________ 20__ г.</w:t>
      </w:r>
    </w:p>
    <w:p w:rsidR="00000000" w:rsidRDefault="00AC4A3F"/>
    <w:p w:rsidR="00000000" w:rsidRDefault="00AC4A3F">
      <w:pPr>
        <w:pStyle w:val="afff0"/>
      </w:pPr>
      <w:r>
        <w:t>_____________________________</w:t>
      </w:r>
    </w:p>
    <w:p w:rsidR="00000000" w:rsidRDefault="00AC4A3F">
      <w:bookmarkStart w:id="35" w:name="sub_1111"/>
      <w:r>
        <w:t>* Заполняется при наличии документов, подтверждающих стоимость подарка.</w:t>
      </w:r>
    </w:p>
    <w:bookmarkEnd w:id="35"/>
    <w:p w:rsidR="00AC4A3F" w:rsidRDefault="00AC4A3F"/>
    <w:sectPr w:rsidR="00AC4A3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301EE"/>
    <w:rsid w:val="009301EE"/>
    <w:rsid w:val="00AC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305406.1004" TargetMode="External"/><Relationship Id="rId13" Type="http://schemas.openxmlformats.org/officeDocument/2006/relationships/hyperlink" Target="garantF1://57305406.1011" TargetMode="External"/><Relationship Id="rId18" Type="http://schemas.openxmlformats.org/officeDocument/2006/relationships/hyperlink" Target="garantF1://57305406.1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7305406.1003" TargetMode="External"/><Relationship Id="rId12" Type="http://schemas.openxmlformats.org/officeDocument/2006/relationships/hyperlink" Target="garantF1://57305406.1007" TargetMode="External"/><Relationship Id="rId17" Type="http://schemas.openxmlformats.org/officeDocument/2006/relationships/hyperlink" Target="garantF1://12012604.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12509.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57305406.1002" TargetMode="External"/><Relationship Id="rId11" Type="http://schemas.openxmlformats.org/officeDocument/2006/relationships/hyperlink" Target="garantF1://70003036.4" TargetMode="External"/><Relationship Id="rId5" Type="http://schemas.openxmlformats.org/officeDocument/2006/relationships/hyperlink" Target="garantF1://57305406.1000" TargetMode="External"/><Relationship Id="rId15" Type="http://schemas.openxmlformats.org/officeDocument/2006/relationships/hyperlink" Target="garantF1://10064072.448" TargetMode="External"/><Relationship Id="rId10" Type="http://schemas.openxmlformats.org/officeDocument/2006/relationships/hyperlink" Target="garantF1://57305406.1006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71117532.0" TargetMode="External"/><Relationship Id="rId9" Type="http://schemas.openxmlformats.org/officeDocument/2006/relationships/hyperlink" Target="garantF1://57305406.1005" TargetMode="External"/><Relationship Id="rId14" Type="http://schemas.openxmlformats.org/officeDocument/2006/relationships/hyperlink" Target="garantF1://57305406.1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3237</Words>
  <Characters>18453</Characters>
  <Application>Microsoft Office Word</Application>
  <DocSecurity>0</DocSecurity>
  <Lines>153</Lines>
  <Paragraphs>43</Paragraphs>
  <ScaleCrop>false</ScaleCrop>
  <Company>НПП "Гарант-Сервис"</Company>
  <LinksUpToDate>false</LinksUpToDate>
  <CharactersWithSpaces>21647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2016-08-03T10:10:00Z</dcterms:created>
  <dcterms:modified xsi:type="dcterms:W3CDTF">2016-08-03T10:10:00Z</dcterms:modified>
</cp:coreProperties>
</file>