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6A84">
      <w:pPr>
        <w:pStyle w:val="1"/>
      </w:pPr>
      <w:hyperlink r:id="rId4" w:history="1">
        <w:r>
          <w:rPr>
            <w:rStyle w:val="a4"/>
            <w:b w:val="0"/>
            <w:bCs w:val="0"/>
          </w:rPr>
          <w:t xml:space="preserve">Распоряжение Правительства Ханты-Мансийского АО - Югры от 14 ноября 2014 г. N 607-рп </w:t>
        </w:r>
        <w:r>
          <w:rPr>
            <w:rStyle w:val="a4"/>
            <w:b w:val="0"/>
            <w:bCs w:val="0"/>
          </w:rPr>
          <w:br/>
          <w:t>"О Типовых правилах об</w:t>
        </w:r>
        <w:r>
          <w:rPr>
            <w:rStyle w:val="a4"/>
            <w:b w:val="0"/>
            <w:bCs w:val="0"/>
          </w:rPr>
          <w:t>мена деловыми подарками и знаками делового гостеприимства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фондах, автономных некоммерческих организациях, е</w:t>
        </w:r>
        <w:r>
          <w:rPr>
            <w:rStyle w:val="a4"/>
            <w:b w:val="0"/>
            <w:bCs w:val="0"/>
          </w:rPr>
          <w:t>динственным учредителем (участником) которых является Ханты-Мансийский автономный округ - Югра"</w:t>
        </w:r>
      </w:hyperlink>
    </w:p>
    <w:p w:rsidR="00000000" w:rsidRDefault="00AF6A84"/>
    <w:p w:rsidR="00000000" w:rsidRDefault="00AF6A84">
      <w:r>
        <w:t xml:space="preserve">Руководствуясь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 273-ФЗ "О противодействии коррупции",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Губернатора Ханты-Мансийского автономного округа - Югры от 18 февраля 2014 года N 15 "Об утверждении положения о сообщении лицами, замещающими государственные должности Ханты-Мансийского автономного округа</w:t>
      </w:r>
      <w:r>
        <w:t xml:space="preserve">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 связи</w:t>
      </w:r>
      <w:r>
        <w:t xml:space="preserve">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реализации", </w:t>
      </w:r>
      <w:hyperlink r:id="rId7" w:history="1">
        <w:r>
          <w:rPr>
            <w:rStyle w:val="a4"/>
          </w:rPr>
          <w:t>пунктом 1.3.6</w:t>
        </w:r>
      </w:hyperlink>
      <w:r>
        <w:t xml:space="preserve"> Плана противодействи</w:t>
      </w:r>
      <w:r>
        <w:t xml:space="preserve">я коррупции в Ханты-Мансийском автономном округе - Югре на 2014 - 2015 годы, утвержденного </w:t>
      </w:r>
      <w:hyperlink r:id="rId8" w:history="1">
        <w:r>
          <w:rPr>
            <w:rStyle w:val="a4"/>
          </w:rPr>
          <w:t>распоряжением</w:t>
        </w:r>
      </w:hyperlink>
      <w:r>
        <w:t xml:space="preserve"> Губернатора Ханты-Мансийского автономного округа - Югры от 30 января 2014 года N 45-рг, </w:t>
      </w:r>
      <w:hyperlink r:id="rId9" w:history="1">
        <w:r>
          <w:rPr>
            <w:rStyle w:val="a4"/>
          </w:rPr>
          <w:t>распоряжением</w:t>
        </w:r>
      </w:hyperlink>
      <w:r>
        <w:t xml:space="preserve"> Правительства Ханты-Мансийского автономного округа - Югры от 14 августа 2014 года 448-рп "Об утверждении Типового кодекса этики и служебного поведения работников государственных учреждений и государственных унитарных предприятий Хант</w:t>
      </w:r>
      <w:r>
        <w:t>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Югра":</w:t>
      </w:r>
    </w:p>
    <w:p w:rsidR="00000000" w:rsidRDefault="00AF6A84"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Типовые правила</w:t>
        </w:r>
      </w:hyperlink>
      <w:r>
        <w:t xml:space="preserve"> обмена деловыми подарками и знаками делового гостеприимства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фондах, автоно</w:t>
      </w:r>
      <w:r>
        <w:t>мных некоммерческих организациях, единственным учредителем (участником) которых является Ханты-Мансийский автономный округ - Югра.</w:t>
      </w:r>
    </w:p>
    <w:p w:rsidR="00000000" w:rsidRDefault="00AF6A84">
      <w:bookmarkStart w:id="1" w:name="sub_2"/>
      <w:bookmarkEnd w:id="0"/>
      <w:r>
        <w:t>2. Рекомендовать государственным учреждениям и государственным унитарным предприятиям Ханты-Мансийского автономного</w:t>
      </w:r>
      <w:r>
        <w:t xml:space="preserve"> округа - Югры, а также хозяйственным обществам, фондам, автономным некоммерческим организациям, единственным учредителем (участником) которых является Ханты-Мансийский автономный округ - Югра, в срок до 10 декабря 2014 года утвердить правила обмена деловы</w:t>
      </w:r>
      <w:r>
        <w:t>ми подарками и знаками делового гостеприимства в соответствии с настоящим распоряжением.</w:t>
      </w:r>
    </w:p>
    <w:bookmarkEnd w:id="1"/>
    <w:p w:rsidR="00000000" w:rsidRDefault="00AF6A84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6A84">
            <w:pPr>
              <w:pStyle w:val="afff0"/>
            </w:pPr>
            <w:r>
              <w:t xml:space="preserve">Губернатор </w:t>
            </w:r>
            <w:r>
              <w:br/>
              <w:t>Ханты-Мансийского</w:t>
            </w:r>
            <w:r>
              <w:br/>
              <w:t>автономного округа - Югры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6A84">
            <w:pPr>
              <w:pStyle w:val="aff7"/>
              <w:jc w:val="right"/>
            </w:pPr>
            <w:r>
              <w:t>Н.В. Комарова</w:t>
            </w:r>
          </w:p>
        </w:tc>
      </w:tr>
    </w:tbl>
    <w:p w:rsidR="00000000" w:rsidRDefault="00AF6A84"/>
    <w:p w:rsidR="00000000" w:rsidRDefault="00AF6A84">
      <w:pPr>
        <w:ind w:firstLine="698"/>
        <w:jc w:val="right"/>
      </w:pPr>
      <w:bookmarkStart w:id="2" w:name="sub_1000"/>
      <w:r>
        <w:rPr>
          <w:rStyle w:val="a3"/>
        </w:rPr>
        <w:t xml:space="preserve">Приложение </w:t>
      </w:r>
    </w:p>
    <w:bookmarkEnd w:id="2"/>
    <w:p w:rsidR="00000000" w:rsidRDefault="00AF6A84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 </w:t>
      </w:r>
    </w:p>
    <w:p w:rsidR="00000000" w:rsidRDefault="00AF6A84">
      <w:pPr>
        <w:ind w:firstLine="698"/>
        <w:jc w:val="right"/>
      </w:pPr>
      <w:r>
        <w:rPr>
          <w:rStyle w:val="a3"/>
        </w:rPr>
        <w:t>Ханты-Ма</w:t>
      </w:r>
      <w:r>
        <w:rPr>
          <w:rStyle w:val="a3"/>
        </w:rPr>
        <w:t xml:space="preserve">нсийского </w:t>
      </w:r>
    </w:p>
    <w:p w:rsidR="00000000" w:rsidRDefault="00AF6A84">
      <w:pPr>
        <w:ind w:firstLine="698"/>
        <w:jc w:val="right"/>
      </w:pPr>
      <w:r>
        <w:rPr>
          <w:rStyle w:val="a3"/>
        </w:rPr>
        <w:t>автономного округа - Югры</w:t>
      </w:r>
    </w:p>
    <w:p w:rsidR="00000000" w:rsidRDefault="00AF6A84">
      <w:pPr>
        <w:ind w:firstLine="698"/>
        <w:jc w:val="right"/>
      </w:pPr>
      <w:r>
        <w:rPr>
          <w:rStyle w:val="a3"/>
        </w:rPr>
        <w:lastRenderedPageBreak/>
        <w:t>от 14 ноября 2014 г. N 607-рп</w:t>
      </w:r>
    </w:p>
    <w:p w:rsidR="00000000" w:rsidRDefault="00AF6A84"/>
    <w:p w:rsidR="00000000" w:rsidRDefault="00AF6A84">
      <w:pPr>
        <w:pStyle w:val="1"/>
      </w:pPr>
      <w:r>
        <w:t xml:space="preserve">Типовые правила </w:t>
      </w:r>
      <w:r>
        <w:br/>
        <w:t>обмена деловыми подарками и знаками делового гостеприимства в государственных учреждениях и государственных унитарных предприятиях Ханты-Мансийского автономного округа - Ю</w:t>
      </w:r>
      <w:r>
        <w:t xml:space="preserve">гры, а также хозяйственных обществах,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 </w:t>
      </w:r>
      <w:r>
        <w:br/>
        <w:t>(далее - Правила)</w:t>
      </w:r>
    </w:p>
    <w:p w:rsidR="00000000" w:rsidRDefault="00AF6A84"/>
    <w:p w:rsidR="00000000" w:rsidRDefault="00AF6A84">
      <w:pPr>
        <w:pStyle w:val="1"/>
      </w:pPr>
      <w:bookmarkStart w:id="3" w:name="sub_1100"/>
      <w:r>
        <w:t>I. Общие положения</w:t>
      </w:r>
    </w:p>
    <w:bookmarkEnd w:id="3"/>
    <w:p w:rsidR="00000000" w:rsidRDefault="00AF6A84"/>
    <w:p w:rsidR="00000000" w:rsidRDefault="00AF6A84">
      <w:bookmarkStart w:id="4" w:name="sub_1001"/>
      <w:r>
        <w:t xml:space="preserve">1. Настоящие Правила определяют общие требования к дарению и принятию деловых подарков, а также к обмену знаками делового гостеприимства для работников государственных учреждений и государственных унитарных предприятий Ханты-Мансийского автономного округа </w:t>
      </w:r>
      <w:r>
        <w:t>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 (далее - автономный округ, организация).</w:t>
      </w:r>
    </w:p>
    <w:bookmarkEnd w:id="4"/>
    <w:p w:rsidR="00000000" w:rsidRDefault="00AF6A84"/>
    <w:p w:rsidR="00000000" w:rsidRDefault="00AF6A84">
      <w:pPr>
        <w:pStyle w:val="1"/>
      </w:pPr>
      <w:bookmarkStart w:id="5" w:name="sub_1200"/>
      <w:r>
        <w:t>II. Дарение дело</w:t>
      </w:r>
      <w:r>
        <w:t>вых подарков и оказание знаков делового гостеприимства</w:t>
      </w:r>
    </w:p>
    <w:bookmarkEnd w:id="5"/>
    <w:p w:rsidR="00000000" w:rsidRDefault="00AF6A84"/>
    <w:p w:rsidR="00000000" w:rsidRDefault="00AF6A84">
      <w:bookmarkStart w:id="6" w:name="sub_1002"/>
      <w:r>
        <w:t>2. Деловые подарки, подлежащие дарению, и знаки делового гостеприимства должны:</w:t>
      </w:r>
    </w:p>
    <w:bookmarkEnd w:id="6"/>
    <w:p w:rsidR="00000000" w:rsidRDefault="00AF6A84">
      <w:r>
        <w:t xml:space="preserve">соответствовать требованиям </w:t>
      </w:r>
      <w:hyperlink r:id="rId10" w:history="1">
        <w:r>
          <w:rPr>
            <w:rStyle w:val="a4"/>
          </w:rPr>
          <w:t>антикоррупционного законодательства</w:t>
        </w:r>
      </w:hyperlink>
      <w:r>
        <w:t xml:space="preserve"> Российской Федерации, автономного округа, настоящих Правил, локальных нормативных актов организации;</w:t>
      </w:r>
    </w:p>
    <w:p w:rsidR="00000000" w:rsidRDefault="00AF6A84">
      <w:r>
        <w:t>быть вручены и оказаны только от имени организации.</w:t>
      </w:r>
    </w:p>
    <w:p w:rsidR="00000000" w:rsidRDefault="00AF6A84">
      <w:bookmarkStart w:id="7" w:name="sub_1003"/>
      <w:r>
        <w:t>3. Деловые подарки, подлежащие дарению, и знаки делового гостеприимства не должны:</w:t>
      </w:r>
    </w:p>
    <w:bookmarkEnd w:id="7"/>
    <w:p w:rsidR="00000000" w:rsidRDefault="00AF6A84">
      <w: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000000" w:rsidRDefault="00AF6A84">
      <w:r>
        <w:t>представлять собой скрытое вознаграждение за услугу, действие или бездействие, попустительство или покровительство предо</w:t>
      </w:r>
      <w:r>
        <w:t>ставление прав или принятие определенных решений, либо попытку оказать влияние на получателя с иной незаконной или неэтичной целью;</w:t>
      </w:r>
    </w:p>
    <w:p w:rsidR="00000000" w:rsidRDefault="00AF6A84">
      <w:r>
        <w:t>быть в форме наличных, безналичных денежных средств, ценных бумаг, драгоценных металлов;</w:t>
      </w:r>
    </w:p>
    <w:p w:rsidR="00000000" w:rsidRDefault="00AF6A84">
      <w:r>
        <w:t>создавать репутационный риск для ор</w:t>
      </w:r>
      <w:r>
        <w:t>ганизации или ее работников.</w:t>
      </w:r>
    </w:p>
    <w:p w:rsidR="00000000" w:rsidRDefault="00AF6A84">
      <w:bookmarkStart w:id="8" w:name="sub_1004"/>
      <w:r>
        <w:t>4. Стоимость подарка, подлежащего дарению, не должна превышать стоимость, установленную локальным нормативным актом организации.</w:t>
      </w:r>
    </w:p>
    <w:bookmarkEnd w:id="8"/>
    <w:p w:rsidR="00000000" w:rsidRDefault="00AF6A84"/>
    <w:p w:rsidR="00000000" w:rsidRDefault="00AF6A84">
      <w:pPr>
        <w:pStyle w:val="1"/>
      </w:pPr>
      <w:bookmarkStart w:id="9" w:name="sub_1300"/>
      <w:r>
        <w:t>III. Получение работниками организации деловых подарков и принятие знаков</w:t>
      </w:r>
      <w:r>
        <w:t xml:space="preserve"> делового гостеприимства</w:t>
      </w:r>
    </w:p>
    <w:bookmarkEnd w:id="9"/>
    <w:p w:rsidR="00000000" w:rsidRDefault="00AF6A84"/>
    <w:p w:rsidR="00000000" w:rsidRDefault="00AF6A84">
      <w:bookmarkStart w:id="10" w:name="sub_1005"/>
      <w:r>
        <w:t xml:space="preserve">5. Работники организации могут получать деловые подарки, знаки делового </w:t>
      </w:r>
      <w:r>
        <w:lastRenderedPageBreak/>
        <w:t xml:space="preserve">гостеприимства только на официальных мероприятиях, если это не противоречит требованиям </w:t>
      </w:r>
      <w:hyperlink r:id="rId11" w:history="1">
        <w:r>
          <w:rPr>
            <w:rStyle w:val="a4"/>
          </w:rPr>
          <w:t>антикоррупционного за</w:t>
        </w:r>
        <w:r>
          <w:rPr>
            <w:rStyle w:val="a4"/>
          </w:rPr>
          <w:t>конодательства</w:t>
        </w:r>
      </w:hyperlink>
      <w:r>
        <w:t xml:space="preserve"> Российской Федерации, автономного округа, настоящим Правилам, локальным нормативным актам организации.</w:t>
      </w:r>
    </w:p>
    <w:p w:rsidR="00000000" w:rsidRDefault="00AF6A84">
      <w:bookmarkStart w:id="11" w:name="sub_1006"/>
      <w:bookmarkEnd w:id="10"/>
      <w:r>
        <w:t>6. При получении делового подарка или знаков делового гостеприимства работник организации обязан принять меры по недопу</w:t>
      </w:r>
      <w:r>
        <w:t>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000000" w:rsidRDefault="00AF6A84">
      <w:bookmarkStart w:id="12" w:name="sub_1007"/>
      <w:bookmarkEnd w:id="11"/>
      <w:r>
        <w:t>7. В случае возникновения конфликта интересов или возможности возникновения конфлик</w:t>
      </w:r>
      <w:r>
        <w:t>та интересов при получении делового подарка или знаков делового гостеприимства работник организации обязан в письменной форме уведомить об этом структурное подразделение или должностное лицо организации, ответственное за противодействие коррупции, в соотве</w:t>
      </w:r>
      <w:r>
        <w:t>тствии с процедурой раскрытия конфликта интересов, утвержденной локальным нормативным актом организации.</w:t>
      </w:r>
    </w:p>
    <w:p w:rsidR="00000000" w:rsidRDefault="00AF6A84">
      <w:bookmarkStart w:id="13" w:name="sub_1008"/>
      <w:bookmarkEnd w:id="12"/>
      <w:r>
        <w:t>8. Работникам организации запрещается:</w:t>
      </w:r>
    </w:p>
    <w:bookmarkEnd w:id="13"/>
    <w:p w:rsidR="00000000" w:rsidRDefault="00AF6A84">
      <w:r>
        <w:t>принимать предложения от организаций или третьих лиц о вручении деловых подарков и об ок</w:t>
      </w:r>
      <w:r>
        <w:t xml:space="preserve">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</w:t>
      </w:r>
      <w:r>
        <w:t>принимаемые решения;</w:t>
      </w:r>
    </w:p>
    <w:p w:rsidR="00000000" w:rsidRDefault="00AF6A84">
      <w: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000000" w:rsidRDefault="00AF6A84">
      <w:r>
        <w:t>принимать подарки в форме наличных, безналичных денежных средств, ценн</w:t>
      </w:r>
      <w:r>
        <w:t>ых бумаг, драгоценных металлов.</w:t>
      </w:r>
    </w:p>
    <w:p w:rsidR="00AF6A84" w:rsidRDefault="00AF6A84">
      <w:bookmarkStart w:id="14" w:name="sub_1009"/>
      <w:r>
        <w:t>9. Работник организации, получивший деловой подарок, обязан сообщить об этом и сдать деловой подарок в соответствии с 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Губернатора Ханты-Мансийского автономного округ</w:t>
      </w:r>
      <w:r>
        <w:t>а - Югры от 18 февраля 2014 года N 15 "Об утверждении Положения о 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</w:t>
      </w:r>
      <w:r>
        <w:t xml:space="preserve">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</w:t>
      </w:r>
      <w:r>
        <w:t>нке подарка, реализации (выкупе) и зачислении средств, вырученных от его реализации".</w:t>
      </w:r>
      <w:bookmarkEnd w:id="14"/>
    </w:p>
    <w:sectPr w:rsidR="00AF6A8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56417"/>
    <w:rsid w:val="00056417"/>
    <w:rsid w:val="00A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35428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8835428.136" TargetMode="External"/><Relationship Id="rId12" Type="http://schemas.openxmlformats.org/officeDocument/2006/relationships/hyperlink" Target="garantF1://1883543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8835436.0" TargetMode="External"/><Relationship Id="rId11" Type="http://schemas.openxmlformats.org/officeDocument/2006/relationships/hyperlink" Target="garantF1://12064203.0" TargetMode="External"/><Relationship Id="rId5" Type="http://schemas.openxmlformats.org/officeDocument/2006/relationships/hyperlink" Target="garantF1://12064203.0" TargetMode="External"/><Relationship Id="rId10" Type="http://schemas.openxmlformats.org/officeDocument/2006/relationships/hyperlink" Target="garantF1://12064203.0" TargetMode="External"/><Relationship Id="rId4" Type="http://schemas.openxmlformats.org/officeDocument/2006/relationships/hyperlink" Target="garantF1://18836808.0" TargetMode="External"/><Relationship Id="rId9" Type="http://schemas.openxmlformats.org/officeDocument/2006/relationships/hyperlink" Target="garantF1://1883635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6741</Characters>
  <Application>Microsoft Office Word</Application>
  <DocSecurity>0</DocSecurity>
  <Lines>56</Lines>
  <Paragraphs>15</Paragraphs>
  <ScaleCrop>false</ScaleCrop>
  <Company>НПП "Гарант-Сервис"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2016-08-03T10:28:00Z</dcterms:created>
  <dcterms:modified xsi:type="dcterms:W3CDTF">2016-08-03T10:28:00Z</dcterms:modified>
</cp:coreProperties>
</file>